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A90373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EBCE7B8" w:rsidR="00901208" w:rsidRPr="00652E92" w:rsidRDefault="00901208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A2CAB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E861D4">
        <w:rPr>
          <w:rFonts w:cs="B Mitra" w:hint="cs"/>
          <w:b/>
          <w:bCs/>
          <w:sz w:val="32"/>
          <w:szCs w:val="32"/>
          <w:rtl/>
          <w:lang w:bidi="fa-IR"/>
        </w:rPr>
        <w:t>8</w:t>
      </w:r>
    </w:p>
    <w:p w14:paraId="280D37E5" w14:textId="77777777" w:rsidR="008744A3" w:rsidRDefault="008744A3" w:rsidP="00A90373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08C5142B" w14:textId="77777777" w:rsidR="00E861D4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D8508B">
        <w:rPr>
          <w:rFonts w:cs="Abz-2 (Badr)" w:hint="cs"/>
          <w:color w:val="FF0000"/>
          <w:sz w:val="28"/>
          <w:szCs w:val="28"/>
          <w:rtl/>
          <w:lang w:bidi="fa-IR"/>
        </w:rPr>
        <w:t xml:space="preserve">نکته ششم: </w:t>
      </w:r>
      <w:r>
        <w:rPr>
          <w:rFonts w:cs="Abz-2 (Badr)" w:hint="cs"/>
          <w:sz w:val="28"/>
          <w:szCs w:val="28"/>
          <w:rtl/>
          <w:lang w:bidi="fa-IR"/>
        </w:rPr>
        <w:t>آيا واجب است که حَکَمين از اهل زوج و زوجه باشند؟</w:t>
      </w:r>
    </w:p>
    <w:p w14:paraId="0BA36AAD" w14:textId="74284FD0" w:rsidR="00E861D4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0973A5">
        <w:rPr>
          <w:rFonts w:cs="Abz-2 (Badr)" w:hint="cs"/>
          <w:sz w:val="28"/>
          <w:szCs w:val="28"/>
          <w:rtl/>
          <w:lang w:bidi="fa-IR"/>
        </w:rPr>
        <w:t xml:space="preserve">ظاهر آيه شريفه اين است که </w:t>
      </w:r>
      <w:r>
        <w:rPr>
          <w:rFonts w:cs="Abz-2 (Badr)" w:hint="cs"/>
          <w:sz w:val="28"/>
          <w:szCs w:val="28"/>
          <w:rtl/>
          <w:lang w:bidi="fa-IR"/>
        </w:rPr>
        <w:t>شرط است که حکمين از اهل زوج و زوجه انتخاب شوند. اما از مرحوم محقق گذشت که چنين شرطی وجود ندارد و حَکَم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ها از غير اهل زوجين نيز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توانند انتخاب شوند.</w:t>
      </w:r>
    </w:p>
    <w:p w14:paraId="3CE39D8E" w14:textId="41A71F42" w:rsidR="00E861D4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bookmarkStart w:id="1" w:name="_Hlk184372798"/>
      <w:r>
        <w:rPr>
          <w:rFonts w:cs="Abz-2 (Badr)" w:hint="cs"/>
          <w:sz w:val="28"/>
          <w:szCs w:val="28"/>
          <w:rtl/>
          <w:lang w:bidi="fa-IR"/>
        </w:rPr>
        <w:t xml:space="preserve">صاحب مسالک در اين خصوص فرموده است: </w:t>
      </w:r>
      <w:r w:rsidRPr="00E861D4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>هل يشترط كون الحكمين من أهل الزوجين، بمعنى كون المبعوث من قبلها من أهلها والمبعوث من قبله من أهله‌؟ قولان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منشؤهما دلالة ظاهر الآية على كونهما من أهلهما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فلا يتحقّق امتثال الأمر بدونه، مؤيّدا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بأن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الأهل أعرف بالمصلحة من الأجانب، ومن أن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القرابة غير معتبرة في الحكم ولا في التوكيل وأمرهما منحصر في الأمرين، ولحصول الغرض بهما أجنبيّين، والآية مسوقة للإرشاد فلا يدلّ‌ الأمر على الوجوب 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 xml:space="preserve">ـ 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من قبيل </w:t>
      </w:r>
      <w:r w:rsidRPr="00E861D4">
        <w:rPr>
          <w:rFonts w:cs="QuranTaha" w:hint="cs"/>
          <w:color w:val="BF8F00" w:themeColor="accent4" w:themeShade="BF"/>
          <w:sz w:val="26"/>
          <w:szCs w:val="26"/>
          <w:rtl/>
          <w:lang w:bidi="ar"/>
        </w:rPr>
        <w:t>«</w:t>
      </w:r>
      <w:r w:rsidRPr="00E861D4">
        <w:rPr>
          <w:rFonts w:cs="QuranTaha"/>
          <w:color w:val="BF8F00" w:themeColor="accent4" w:themeShade="BF"/>
          <w:sz w:val="26"/>
          <w:szCs w:val="26"/>
          <w:rtl/>
          <w:lang w:bidi="ar"/>
        </w:rPr>
        <w:t>وَأَشْهِدُوا إِذٰا تَبٰايَعْتُمْ‌</w:t>
      </w:r>
      <w:r w:rsidRPr="00E861D4">
        <w:rPr>
          <w:rFonts w:cs="QuranTaha" w:hint="cs"/>
          <w:color w:val="BF8F00" w:themeColor="accent4" w:themeShade="BF"/>
          <w:sz w:val="26"/>
          <w:szCs w:val="26"/>
          <w:rtl/>
          <w:lang w:bidi="ar"/>
        </w:rPr>
        <w:t>»</w:t>
      </w:r>
      <w:r w:rsidRPr="00E861D4">
        <w:rPr>
          <w:rFonts w:cs="Abz-2 (Badr)"/>
          <w:sz w:val="28"/>
          <w:szCs w:val="28"/>
          <w:vertAlign w:val="superscript"/>
          <w:rtl/>
          <w:lang w:bidi="ar"/>
        </w:rPr>
        <w:footnoteReference w:id="1"/>
      </w:r>
      <w:r w:rsidR="000E7FD5">
        <w:rPr>
          <w:rFonts w:cs="Abz-2 (Badr)" w:hint="cs"/>
          <w:color w:val="0070C0"/>
          <w:sz w:val="28"/>
          <w:szCs w:val="28"/>
          <w:rtl/>
          <w:lang w:bidi="ar"/>
        </w:rPr>
        <w:t xml:space="preserve"> ـ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 xml:space="preserve"> وهذا هو الأشهر، وهو الذي قطع به المصن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E861D4">
        <w:rPr>
          <w:rFonts w:cs="Abz-2 (Badr)"/>
          <w:color w:val="0070C0"/>
          <w:sz w:val="28"/>
          <w:szCs w:val="28"/>
          <w:rtl/>
          <w:lang w:bidi="ar"/>
        </w:rPr>
        <w:t>ف والأكثر.</w:t>
      </w:r>
    </w:p>
    <w:p w14:paraId="651DCB90" w14:textId="2CEEF0A4" w:rsidR="00E861D4" w:rsidRPr="00E861D4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861D4">
        <w:rPr>
          <w:rFonts w:cs="Abz-2 (Badr)"/>
          <w:color w:val="0070C0"/>
          <w:sz w:val="28"/>
          <w:szCs w:val="28"/>
          <w:rtl/>
          <w:lang w:bidi="ar"/>
        </w:rPr>
        <w:t>ولو تعذّر الأهل فلا كلام في جواز الأجانب.</w:t>
      </w:r>
      <w:r w:rsidRPr="00E861D4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2"/>
      </w:r>
    </w:p>
    <w:bookmarkEnd w:id="1"/>
    <w:p w14:paraId="10273636" w14:textId="77777777" w:rsidR="00E861D4" w:rsidRPr="000973A5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>اما صاحب رياض در مسأله تفصيل داده و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0973A5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يجوز أن يكونا 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 xml:space="preserve">ـ 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أي الحكمان 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>ـ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 أجنبيّين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 إمّا مطلقاً 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 xml:space="preserve">ـ 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>كما هو ظاهر المتن وفاقاً منه لمن مضى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 xml:space="preserve"> ـ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 أو مقيّداً بعدم الأهل، كما هو الأقوى</w:t>
      </w:r>
      <w:r w:rsidRPr="000973A5"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4B576559" w14:textId="77777777" w:rsidR="00E861D4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973A5">
        <w:rPr>
          <w:rFonts w:cs="Abz-2 (Badr)"/>
          <w:color w:val="0070C0"/>
          <w:sz w:val="28"/>
          <w:szCs w:val="28"/>
          <w:rtl/>
          <w:lang w:bidi="ar"/>
        </w:rPr>
        <w:t>لكن مع ذلك ليس لهما حكم المبعوث من أهلهما من إمضاء ما حكما عليهما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 xml:space="preserve"> لمخالفته الأصل، فيقتصر فيه على مورد النصّ‌، ويكون حكمهما حينئذٍ الاقتصار على ما أذن به الزوجان وفيه وكّلا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، </w:t>
      </w:r>
      <w:r w:rsidRPr="000973A5">
        <w:rPr>
          <w:rFonts w:cs="Abz-2 (Badr)"/>
          <w:color w:val="0070C0"/>
          <w:sz w:val="28"/>
          <w:szCs w:val="28"/>
          <w:rtl/>
          <w:lang w:bidi="ar"/>
        </w:rPr>
        <w:t>وليس لهما من التحكيم الذي هو حكم الحكمين كما يأتي شيء جدّاً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72D7D5DB" w14:textId="77777777" w:rsidR="00E861D4" w:rsidRPr="000973A5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0973A5">
        <w:rPr>
          <w:rFonts w:cs="Abz-2 (Badr)"/>
          <w:color w:val="0070C0"/>
          <w:sz w:val="28"/>
          <w:szCs w:val="28"/>
          <w:rtl/>
          <w:lang w:bidi="ar"/>
        </w:rPr>
        <w:lastRenderedPageBreak/>
        <w:t>وفي حكم فقد الأهل توقّف الإصلاح على الأجنبيّين.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3"/>
      </w:r>
    </w:p>
    <w:p w14:paraId="5D341A2F" w14:textId="77777777" w:rsidR="00E861D4" w:rsidRPr="004D2019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صاحب جواهر با اشکال بر صاحب رياض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4D2019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>هو من غرائب الكلام يمكن دعوى الإجماع على خلافه، مضافا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إلى ظهور النصوص في الآية في عموم الحكم للزوجين ذي الأهل وغيرهم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على أن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التقييد الذي ذكره معناه مضي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حكم الأجنبي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وصيرورته كالأهل مع عدمهم، وإلا فالتوكيل لا ريب في جوازه مع وجود الأهل فضلا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4D2019">
        <w:rPr>
          <w:rFonts w:cs="Abz-2 (Badr)"/>
          <w:color w:val="0070C0"/>
          <w:sz w:val="28"/>
          <w:szCs w:val="28"/>
          <w:rtl/>
          <w:lang w:bidi="ar"/>
        </w:rPr>
        <w:t xml:space="preserve"> عن حال عدمهم</w:t>
      </w:r>
      <w:r w:rsidRPr="004D2019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4"/>
      </w:r>
    </w:p>
    <w:p w14:paraId="32DD5F02" w14:textId="7DCF6514" w:rsidR="00E861D4" w:rsidRPr="00224572" w:rsidRDefault="00E861D4" w:rsidP="00047F82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2" w:name="_Hlk184372815"/>
      <w:r>
        <w:rPr>
          <w:rFonts w:cs="Abz-2 (Badr)" w:hint="cs"/>
          <w:sz w:val="28"/>
          <w:szCs w:val="28"/>
          <w:rtl/>
          <w:lang w:bidi="fa-IR"/>
        </w:rPr>
        <w:t>حق نيز تماميّت استدلالی است که صاحب مسال</w:t>
      </w:r>
      <w:r>
        <w:rPr>
          <w:rFonts w:cs="Abz-2 (Badr)" w:hint="cs"/>
          <w:sz w:val="28"/>
          <w:szCs w:val="28"/>
          <w:rtl/>
        </w:rPr>
        <w:t xml:space="preserve">ك برای جواز اين که حکمين از غير اهل زوجين باشند ذکر کرده است، همان گونه که </w:t>
      </w:r>
      <w:r>
        <w:rPr>
          <w:rFonts w:cs="Abz-2 (Badr)" w:hint="cs"/>
          <w:sz w:val="28"/>
          <w:szCs w:val="28"/>
          <w:rtl/>
          <w:lang w:bidi="fa-IR"/>
        </w:rPr>
        <w:t>اشکالی که صاحب جواهر بر صاحب رياض وارد کرده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 نيز اشکال واردی است.</w:t>
      </w:r>
    </w:p>
    <w:p w14:paraId="548D356D" w14:textId="0144BB03" w:rsidR="00047F82" w:rsidRDefault="00047F82" w:rsidP="007E1BA4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3" w:name="_Hlk184376571"/>
      <w:bookmarkEnd w:id="2"/>
      <w:r w:rsidRPr="00D8508B">
        <w:rPr>
          <w:rFonts w:cs="Abz-2 (Badr)" w:hint="cs"/>
          <w:color w:val="FF0000"/>
          <w:sz w:val="28"/>
          <w:szCs w:val="28"/>
          <w:rtl/>
          <w:lang w:bidi="fa-IR"/>
        </w:rPr>
        <w:t xml:space="preserve">نکته </w:t>
      </w:r>
      <w:r>
        <w:rPr>
          <w:rFonts w:cs="Abz-2 (Badr)" w:hint="cs"/>
          <w:color w:val="FF0000"/>
          <w:sz w:val="28"/>
          <w:szCs w:val="28"/>
          <w:rtl/>
          <w:lang w:bidi="fa-IR"/>
        </w:rPr>
        <w:t>هفتم</w:t>
      </w:r>
      <w:r w:rsidRPr="00D8508B">
        <w:rPr>
          <w:rFonts w:cs="Abz-2 (Badr)" w:hint="cs"/>
          <w:color w:val="FF0000"/>
          <w:sz w:val="28"/>
          <w:szCs w:val="28"/>
          <w:rtl/>
          <w:lang w:bidi="fa-IR"/>
        </w:rPr>
        <w:t xml:space="preserve">: </w:t>
      </w:r>
      <w:r>
        <w:rPr>
          <w:rFonts w:cs="Abz-2 (Badr)" w:hint="cs"/>
          <w:sz w:val="28"/>
          <w:szCs w:val="28"/>
          <w:rtl/>
          <w:lang w:bidi="fa-IR"/>
        </w:rPr>
        <w:t>شرائط کسانی که به حکميت برگزيده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شوند، چيست؟</w:t>
      </w:r>
    </w:p>
    <w:p w14:paraId="038CC7C0" w14:textId="2E898642" w:rsidR="00047F82" w:rsidRPr="00047F82" w:rsidRDefault="00047F82" w:rsidP="007E1BA4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شيخ در مبسوط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047F82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047F82">
        <w:rPr>
          <w:rFonts w:cs="Abz-2 (Badr)"/>
          <w:color w:val="0070C0"/>
          <w:sz w:val="28"/>
          <w:szCs w:val="28"/>
          <w:rtl/>
          <w:lang w:bidi="ar"/>
        </w:rPr>
        <w:t>يكون الحكمان حر</w:t>
      </w:r>
      <w:r w:rsidRPr="00047F82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47F82">
        <w:rPr>
          <w:rFonts w:cs="Abz-2 (Badr)"/>
          <w:color w:val="0070C0"/>
          <w:sz w:val="28"/>
          <w:szCs w:val="28"/>
          <w:rtl/>
          <w:lang w:bidi="ar"/>
        </w:rPr>
        <w:t>ين ذكرين عدلين.</w:t>
      </w:r>
      <w:r w:rsidRPr="00047F82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5"/>
      </w:r>
    </w:p>
    <w:p w14:paraId="3BF21438" w14:textId="50973A9E" w:rsidR="00D62396" w:rsidRPr="00D62396" w:rsidRDefault="00D62396" w:rsidP="007E1BA4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شهيد ثانی نيز فرموده است: 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يشترط فيهما البلوغ والعقل والإسلام والاهتداء إلى ما هو المقصود من بعثهما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وأم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ا العدالة والحريّة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فإن جعلناهما حكمين اعتبرا قطعا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، وإن جعلناهما وكيلين ففي اعتبارهما وجهان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أجودهما العدم، لأن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هما ليسا شرطا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في الوكيل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ووجه اشتراطهما عليه أن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الوكالة إذا تعلّقت بنظر الحاكم اشترط فيها ذلك كأمين الحاكم.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6"/>
      </w:r>
    </w:p>
    <w:p w14:paraId="2F8B8D8D" w14:textId="77777777" w:rsidR="00D62396" w:rsidRPr="00D62396" w:rsidRDefault="00D62396" w:rsidP="007E1BA4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>صاحب جواهر هم در اين خصوص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 xml:space="preserve">فرمايد: </w:t>
      </w:r>
      <w:r w:rsidRPr="00D62396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ولا ريب في اشتراط البلوغ والعقل والاهتداء إلى ما هو المقصود من بعثهما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قيل: والإسلام، وهو جي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د فيما كان الشقاق بين المسلمين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أما غيرهم فلا يخلو من نظر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.</w:t>
      </w:r>
    </w:p>
    <w:p w14:paraId="48635FD2" w14:textId="6F029B6C" w:rsidR="00D62396" w:rsidRDefault="00D62396" w:rsidP="007E1BA4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D62396">
        <w:rPr>
          <w:rFonts w:cs="Abz-2 (Badr)"/>
          <w:color w:val="0070C0"/>
          <w:sz w:val="28"/>
          <w:szCs w:val="28"/>
          <w:rtl/>
          <w:lang w:bidi="ar"/>
        </w:rPr>
        <w:t>وأم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ا العدالة والحر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ي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ة ففي المسالك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 xml:space="preserve">... 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وفيه إمكان منع اعتبار ذلك على الأو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ل أيضا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>، وما دل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على اعتبارهما في الرئيس العام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D62396">
        <w:rPr>
          <w:rFonts w:cs="Abz-2 (Badr)"/>
          <w:color w:val="0070C0"/>
          <w:sz w:val="28"/>
          <w:szCs w:val="28"/>
          <w:rtl/>
          <w:lang w:bidi="ar"/>
        </w:rPr>
        <w:t xml:space="preserve"> لا يقتضيه في مثل المقام المجبور بنظر الرئيس.</w:t>
      </w:r>
      <w:r w:rsidRPr="00D62396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7"/>
      </w:r>
    </w:p>
    <w:p w14:paraId="45B4BBF5" w14:textId="34362ECB" w:rsidR="00111ABB" w:rsidRPr="00111ABB" w:rsidRDefault="00111ABB" w:rsidP="00111ABB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111ABB">
        <w:rPr>
          <w:rFonts w:cs="Abz-2 (Badr)" w:hint="cs"/>
          <w:sz w:val="28"/>
          <w:szCs w:val="28"/>
          <w:rtl/>
          <w:lang w:bidi="fa-IR"/>
        </w:rPr>
        <w:t>نتيجه مسأله را جلسه آينده بررسی خواهيم کرد ان شاء الله.</w:t>
      </w:r>
      <w:bookmarkEnd w:id="3"/>
    </w:p>
    <w:sectPr w:rsidR="00111ABB" w:rsidRPr="00111ABB" w:rsidSect="00041C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387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79655" w14:textId="77777777" w:rsidR="00EA4C0C" w:rsidRDefault="00EA4C0C" w:rsidP="00F71127">
      <w:pPr>
        <w:spacing w:after="0" w:line="240" w:lineRule="auto"/>
      </w:pPr>
      <w:r>
        <w:separator/>
      </w:r>
    </w:p>
  </w:endnote>
  <w:endnote w:type="continuationSeparator" w:id="0">
    <w:p w14:paraId="342CDC3F" w14:textId="77777777" w:rsidR="00EA4C0C" w:rsidRDefault="00EA4C0C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DE6B" w14:textId="77777777" w:rsidR="00041C39" w:rsidRDefault="00041C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06F0" w14:textId="77777777" w:rsidR="00041C39" w:rsidRDefault="00041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4136A" w14:textId="77777777" w:rsidR="00EA4C0C" w:rsidRDefault="00EA4C0C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BB2F226" w14:textId="77777777" w:rsidR="00EA4C0C" w:rsidRDefault="00EA4C0C" w:rsidP="00F71127">
      <w:pPr>
        <w:bidi/>
        <w:spacing w:after="0" w:line="240" w:lineRule="auto"/>
      </w:pPr>
      <w:r>
        <w:continuationSeparator/>
      </w:r>
    </w:p>
  </w:footnote>
  <w:footnote w:id="1">
    <w:p w14:paraId="66D1ACF0" w14:textId="3ACE4C7E" w:rsidR="00E861D4" w:rsidRPr="00E861D4" w:rsidRDefault="00E861D4" w:rsidP="00E861D4">
      <w:pPr>
        <w:pStyle w:val="FootnoteText"/>
        <w:bidi/>
        <w:rPr>
          <w:rFonts w:cs="Abz-2 (Badr)"/>
          <w:rtl/>
          <w:lang w:bidi="fa-IR"/>
        </w:rPr>
      </w:pPr>
      <w:r w:rsidRPr="00E861D4">
        <w:rPr>
          <w:rFonts w:cs="Abz-2 (Badr)"/>
          <w:lang w:bidi="fa-IR"/>
        </w:rPr>
        <w:footnoteRef/>
      </w:r>
      <w:r w:rsidRPr="00E861D4">
        <w:rPr>
          <w:rFonts w:cs="Abz-2 (Badr)"/>
          <w:rtl/>
          <w:lang w:bidi="fa-IR"/>
        </w:rPr>
        <w:t> </w:t>
      </w:r>
      <w:r>
        <w:rPr>
          <w:rFonts w:cs="Abz-2 (Badr)" w:hint="cs"/>
          <w:rtl/>
          <w:lang w:bidi="fa-IR"/>
        </w:rPr>
        <w:t>ـ</w:t>
      </w:r>
      <w:r w:rsidRPr="00E861D4">
        <w:rPr>
          <w:rFonts w:cs="Abz-2 (Badr)"/>
          <w:rtl/>
          <w:lang w:bidi="fa-IR"/>
        </w:rPr>
        <w:t xml:space="preserve"> بقر</w:t>
      </w:r>
      <w:r>
        <w:rPr>
          <w:rFonts w:cs="Abz-2 (Badr)" w:hint="cs"/>
          <w:rtl/>
          <w:lang w:bidi="fa-IR"/>
        </w:rPr>
        <w:t>ه(2)</w:t>
      </w:r>
      <w:r w:rsidRPr="00E861D4">
        <w:rPr>
          <w:rFonts w:cs="Abz-2 (Badr)"/>
          <w:rtl/>
          <w:lang w:bidi="fa-IR"/>
        </w:rPr>
        <w:t>:٢٨٢.</w:t>
      </w:r>
    </w:p>
  </w:footnote>
  <w:footnote w:id="2">
    <w:p w14:paraId="56DA9068" w14:textId="304586EA" w:rsidR="00E861D4" w:rsidRPr="009F6447" w:rsidRDefault="00E861D4" w:rsidP="00E861D4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</w:t>
      </w:r>
      <w:r>
        <w:rPr>
          <w:rFonts w:cs="Abz-2 (Badr)"/>
          <w:lang w:bidi="fa-IR"/>
        </w:rPr>
        <w:t>8</w:t>
      </w:r>
      <w:r>
        <w:rPr>
          <w:rFonts w:cs="Abz-2 (Badr)" w:hint="cs"/>
          <w:rtl/>
          <w:lang w:bidi="fa-IR"/>
        </w:rPr>
        <w:t>،ص</w:t>
      </w:r>
      <w:r>
        <w:rPr>
          <w:rFonts w:cs="Abz-2 (Badr)"/>
          <w:lang w:bidi="fa-IR"/>
        </w:rPr>
        <w:t>366</w:t>
      </w:r>
      <w:r>
        <w:rPr>
          <w:rFonts w:cs="Abz-2 (Badr)" w:hint="cs"/>
          <w:rtl/>
          <w:lang w:bidi="fa-IR"/>
        </w:rPr>
        <w:t>.</w:t>
      </w:r>
    </w:p>
  </w:footnote>
  <w:footnote w:id="3">
    <w:p w14:paraId="1F1338CB" w14:textId="77777777" w:rsidR="00E861D4" w:rsidRPr="009F6447" w:rsidRDefault="00E861D4" w:rsidP="00E861D4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رياض،ج12،ص100.</w:t>
      </w:r>
    </w:p>
  </w:footnote>
  <w:footnote w:id="4">
    <w:p w14:paraId="3F769425" w14:textId="77777777" w:rsidR="00E861D4" w:rsidRPr="009F6447" w:rsidRDefault="00E861D4" w:rsidP="00E861D4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جواهر،ج31،ص213 و 214.</w:t>
      </w:r>
    </w:p>
  </w:footnote>
  <w:footnote w:id="5">
    <w:p w14:paraId="218E9B46" w14:textId="573205E0" w:rsidR="00047F82" w:rsidRPr="009F6447" w:rsidRDefault="00047F82" w:rsidP="00047F82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مبسوط،ج4،ص340.</w:t>
      </w:r>
    </w:p>
  </w:footnote>
  <w:footnote w:id="6">
    <w:p w14:paraId="2E167E8E" w14:textId="03FE2716" w:rsidR="00D62396" w:rsidRPr="009F6447" w:rsidRDefault="00D62396" w:rsidP="00D62396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،ج8،ص367.</w:t>
      </w:r>
    </w:p>
  </w:footnote>
  <w:footnote w:id="7">
    <w:p w14:paraId="27ABC977" w14:textId="3A9A1B46" w:rsidR="00D62396" w:rsidRPr="009F6447" w:rsidRDefault="00D62396" w:rsidP="00D62396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جواهر،ج31،ص214 و 215.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E85F" w14:textId="77777777" w:rsidR="00041C39" w:rsidRDefault="00041C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F2057" w14:textId="661F932D" w:rsidR="00041C39" w:rsidRDefault="00041C3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45E2061" wp14:editId="097F3209">
              <wp:simplePos x="0" y="0"/>
              <wp:positionH relativeFrom="column">
                <wp:posOffset>2787650</wp:posOffset>
              </wp:positionH>
              <wp:positionV relativeFrom="paragraph">
                <wp:posOffset>182880</wp:posOffset>
              </wp:positionV>
              <wp:extent cx="3604260" cy="13792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4260" cy="1379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B3B55" w14:textId="35375248" w:rsidR="00041C39" w:rsidRDefault="00041C39" w:rsidP="00041C39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71003B1" w14:textId="77777777" w:rsidR="00041C39" w:rsidRDefault="00041C39" w:rsidP="00041C39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3C6A9902" w14:textId="3ADF1366" w:rsidR="00041C39" w:rsidRDefault="00041C39" w:rsidP="00041C39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17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آذر  ماه - 1403ه.ش</w:t>
                          </w:r>
                        </w:p>
                        <w:p w14:paraId="607CB75E" w14:textId="77777777" w:rsidR="00041C39" w:rsidRDefault="00041C39" w:rsidP="00041C39"/>
                        <w:p w14:paraId="2B938297" w14:textId="77777777" w:rsidR="00041C39" w:rsidRDefault="00041C39" w:rsidP="00041C39"/>
                        <w:p w14:paraId="5505B4D8" w14:textId="77777777" w:rsidR="00041C39" w:rsidRDefault="00041C39" w:rsidP="00041C39"/>
                        <w:p w14:paraId="56F7A214" w14:textId="77777777" w:rsidR="00041C39" w:rsidRDefault="00041C39" w:rsidP="00041C39"/>
                        <w:p w14:paraId="7511AA69" w14:textId="77777777" w:rsidR="00041C39" w:rsidRDefault="00041C39" w:rsidP="00041C39"/>
                        <w:p w14:paraId="41C3737C" w14:textId="77777777" w:rsidR="00041C39" w:rsidRDefault="00041C39" w:rsidP="00041C39"/>
                        <w:p w14:paraId="023220E9" w14:textId="77777777" w:rsidR="00041C39" w:rsidRDefault="00041C39" w:rsidP="00041C39"/>
                        <w:p w14:paraId="58253B59" w14:textId="77777777" w:rsidR="00041C39" w:rsidRDefault="00041C39" w:rsidP="00041C39"/>
                        <w:p w14:paraId="2762A1B9" w14:textId="77777777" w:rsidR="00041C39" w:rsidRDefault="00041C39" w:rsidP="00041C39"/>
                        <w:p w14:paraId="0DE2FF44" w14:textId="77777777" w:rsidR="00041C39" w:rsidRDefault="00041C39" w:rsidP="00041C39"/>
                        <w:p w14:paraId="58678B00" w14:textId="77777777" w:rsidR="00041C39" w:rsidRDefault="00041C39" w:rsidP="00041C39"/>
                        <w:p w14:paraId="174C5ACA" w14:textId="77777777" w:rsidR="00041C39" w:rsidRDefault="00041C39" w:rsidP="00041C39"/>
                        <w:p w14:paraId="6743BE6A" w14:textId="77777777" w:rsidR="00041C39" w:rsidRDefault="00041C39" w:rsidP="00041C39"/>
                        <w:p w14:paraId="2CECC9D7" w14:textId="77777777" w:rsidR="00041C39" w:rsidRDefault="00041C39" w:rsidP="00041C39"/>
                        <w:p w14:paraId="13081513" w14:textId="77777777" w:rsidR="00041C39" w:rsidRDefault="00041C39" w:rsidP="00041C39"/>
                        <w:p w14:paraId="54A36896" w14:textId="54900C5E" w:rsidR="00041C39" w:rsidRDefault="00041C3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5E20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19.5pt;margin-top:14.4pt;width:283.8pt;height:10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" stroked="f">
              <v:textbox>
                <w:txbxContent>
                  <w:p w14:paraId="4FAB3B55" w14:textId="35375248" w:rsidR="00041C39" w:rsidRDefault="00041C39" w:rsidP="00041C39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71003B1" w14:textId="77777777" w:rsidR="00041C39" w:rsidRDefault="00041C39" w:rsidP="00041C39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3C6A9902" w14:textId="3ADF1366" w:rsidR="00041C39" w:rsidRDefault="00041C39" w:rsidP="00041C39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17</w:t>
                    </w:r>
                    <w:r>
                      <w:rPr>
                        <w:rFonts w:cs="B Mehr" w:hint="cs"/>
                        <w:rtl/>
                      </w:rPr>
                      <w:t xml:space="preserve">      آذر  ماه - 1403ه.ش</w:t>
                    </w:r>
                  </w:p>
                  <w:p w14:paraId="607CB75E" w14:textId="77777777" w:rsidR="00041C39" w:rsidRDefault="00041C39" w:rsidP="00041C39"/>
                  <w:p w14:paraId="2B938297" w14:textId="77777777" w:rsidR="00041C39" w:rsidRDefault="00041C39" w:rsidP="00041C39"/>
                  <w:p w14:paraId="5505B4D8" w14:textId="77777777" w:rsidR="00041C39" w:rsidRDefault="00041C39" w:rsidP="00041C39"/>
                  <w:p w14:paraId="56F7A214" w14:textId="77777777" w:rsidR="00041C39" w:rsidRDefault="00041C39" w:rsidP="00041C39"/>
                  <w:p w14:paraId="7511AA69" w14:textId="77777777" w:rsidR="00041C39" w:rsidRDefault="00041C39" w:rsidP="00041C39"/>
                  <w:p w14:paraId="41C3737C" w14:textId="77777777" w:rsidR="00041C39" w:rsidRDefault="00041C39" w:rsidP="00041C39"/>
                  <w:p w14:paraId="023220E9" w14:textId="77777777" w:rsidR="00041C39" w:rsidRDefault="00041C39" w:rsidP="00041C39"/>
                  <w:p w14:paraId="58253B59" w14:textId="77777777" w:rsidR="00041C39" w:rsidRDefault="00041C39" w:rsidP="00041C39"/>
                  <w:p w14:paraId="2762A1B9" w14:textId="77777777" w:rsidR="00041C39" w:rsidRDefault="00041C39" w:rsidP="00041C39"/>
                  <w:p w14:paraId="0DE2FF44" w14:textId="77777777" w:rsidR="00041C39" w:rsidRDefault="00041C39" w:rsidP="00041C39"/>
                  <w:p w14:paraId="58678B00" w14:textId="77777777" w:rsidR="00041C39" w:rsidRDefault="00041C39" w:rsidP="00041C39"/>
                  <w:p w14:paraId="174C5ACA" w14:textId="77777777" w:rsidR="00041C39" w:rsidRDefault="00041C39" w:rsidP="00041C39"/>
                  <w:p w14:paraId="6743BE6A" w14:textId="77777777" w:rsidR="00041C39" w:rsidRDefault="00041C39" w:rsidP="00041C39"/>
                  <w:p w14:paraId="2CECC9D7" w14:textId="77777777" w:rsidR="00041C39" w:rsidRDefault="00041C39" w:rsidP="00041C39"/>
                  <w:p w14:paraId="13081513" w14:textId="77777777" w:rsidR="00041C39" w:rsidRDefault="00041C39" w:rsidP="00041C39"/>
                  <w:p w14:paraId="54A36896" w14:textId="54900C5E" w:rsidR="00041C39" w:rsidRDefault="00041C39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79444FB" wp14:editId="3E2735D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8A23" w14:textId="77777777" w:rsidR="00041C39" w:rsidRDefault="00041C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1C39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5058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ABB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C2A"/>
    <w:rsid w:val="0037017B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1C06"/>
    <w:rsid w:val="00392471"/>
    <w:rsid w:val="00392C89"/>
    <w:rsid w:val="00393BC9"/>
    <w:rsid w:val="00393CDD"/>
    <w:rsid w:val="00393EF3"/>
    <w:rsid w:val="00394F54"/>
    <w:rsid w:val="00395F51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0F80"/>
    <w:rsid w:val="003F236A"/>
    <w:rsid w:val="003F37CE"/>
    <w:rsid w:val="003F3EEE"/>
    <w:rsid w:val="003F4526"/>
    <w:rsid w:val="003F5961"/>
    <w:rsid w:val="00400163"/>
    <w:rsid w:val="00400C29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970"/>
    <w:rsid w:val="00494EF2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3D8"/>
    <w:rsid w:val="0083604C"/>
    <w:rsid w:val="00836783"/>
    <w:rsid w:val="00836FC7"/>
    <w:rsid w:val="00837DBE"/>
    <w:rsid w:val="008404D2"/>
    <w:rsid w:val="00840FFD"/>
    <w:rsid w:val="008415A4"/>
    <w:rsid w:val="00843654"/>
    <w:rsid w:val="008450DC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1A36"/>
    <w:rsid w:val="008A200A"/>
    <w:rsid w:val="008A20B3"/>
    <w:rsid w:val="008A20C7"/>
    <w:rsid w:val="008A2378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3567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F27"/>
    <w:rsid w:val="008D1F41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316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D3E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F99"/>
    <w:rsid w:val="00B00D9A"/>
    <w:rsid w:val="00B00DE6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E6A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3746"/>
    <w:rsid w:val="00B943C0"/>
    <w:rsid w:val="00B9441F"/>
    <w:rsid w:val="00B94CAC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161"/>
    <w:rsid w:val="00BE6672"/>
    <w:rsid w:val="00BF0C1C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7047"/>
    <w:rsid w:val="00C47A53"/>
    <w:rsid w:val="00C47C17"/>
    <w:rsid w:val="00C50DB4"/>
    <w:rsid w:val="00C511AD"/>
    <w:rsid w:val="00C527CF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11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31FA"/>
    <w:rsid w:val="00C8378C"/>
    <w:rsid w:val="00C83C44"/>
    <w:rsid w:val="00C85FC3"/>
    <w:rsid w:val="00C8637E"/>
    <w:rsid w:val="00C90C1E"/>
    <w:rsid w:val="00C90CD0"/>
    <w:rsid w:val="00C91047"/>
    <w:rsid w:val="00C91109"/>
    <w:rsid w:val="00C91343"/>
    <w:rsid w:val="00C917FD"/>
    <w:rsid w:val="00C91BB9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88E"/>
    <w:rsid w:val="00D45B06"/>
    <w:rsid w:val="00D45BB2"/>
    <w:rsid w:val="00D473AB"/>
    <w:rsid w:val="00D474AB"/>
    <w:rsid w:val="00D5044F"/>
    <w:rsid w:val="00D50972"/>
    <w:rsid w:val="00D50989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4DB2"/>
    <w:rsid w:val="00D84E3C"/>
    <w:rsid w:val="00D8508B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0E7F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1D4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96CFF"/>
    <w:rsid w:val="00EA0F69"/>
    <w:rsid w:val="00EA1AB3"/>
    <w:rsid w:val="00EA1B9E"/>
    <w:rsid w:val="00EA2B3F"/>
    <w:rsid w:val="00EA2C32"/>
    <w:rsid w:val="00EA35EC"/>
    <w:rsid w:val="00EA36CE"/>
    <w:rsid w:val="00EA4C0C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1C42"/>
    <w:rsid w:val="00F31D1B"/>
    <w:rsid w:val="00F31E4F"/>
    <w:rsid w:val="00F31FA0"/>
    <w:rsid w:val="00F32499"/>
    <w:rsid w:val="00F32548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16859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208</cp:revision>
  <cp:lastPrinted>2024-11-26T07:14:00Z</cp:lastPrinted>
  <dcterms:created xsi:type="dcterms:W3CDTF">2022-10-16T08:36:00Z</dcterms:created>
  <dcterms:modified xsi:type="dcterms:W3CDTF">2024-12-07T07:58:00Z</dcterms:modified>
</cp:coreProperties>
</file>